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3.2.2.6 Inchidere de semestru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3.2.2.6 Inchidere de semestru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Inchidere de semestru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Inchiderea preliminara de venituri si cheltuieli (incl. verificare si analiza)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Inchiderea modulului GL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Balanta preliminara la Controlling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echivalenta Cont de profit si pierdere din Hyperion cu cel din Balanta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Contabilitate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in modul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Responsabil Financiar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in modul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in Hyperion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 Servicii in curs de executie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Impozit pe profit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servicii in curs de execuție in Contabilitate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 cont de venit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Auditarea situatiilor financiare anuale/ Revizuire situații financiare interimare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Actualizare calcul impozit pe profit curent si amanat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Calculul si inregistrarea provizionul pentru participare salariați la profit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Definitivare si tansmitere Balanta finala la Controlling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si primire informatii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Intocmire situatii financiare interimare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1.1.1.20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situatii financiare interimare împreuna cu Declarația persoanelor responsabile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"_Toc256000025" </w:instrText>
      </w:r>
      <w:r>
        <w:fldChar w:fldCharType="separate"/>
      </w:r>
      <w:r>
        <w:rPr>
          <w:rStyle w:val="Hyperlink"/>
        </w:rPr>
        <w:t>1.1.1.21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Ajustare situatii financiare interimare</w:t>
      </w:r>
      <w:r>
        <w:tab/>
      </w:r>
      <w:r>
        <w:fldChar w:fldCharType="begin"/>
      </w:r>
      <w:r>
        <w:instrText xml:space="preserve"> PAGEREF _Toc256000025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"_Toc256000026" </w:instrText>
      </w:r>
      <w:r>
        <w:fldChar w:fldCharType="separate"/>
      </w:r>
      <w:r>
        <w:rPr>
          <w:rStyle w:val="Hyperlink"/>
        </w:rPr>
        <w:t>1.1.1.22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situatii financiare interimare și Declarația persoanelor responsabile si transmitere catre Dir. General</w:t>
      </w:r>
      <w:r>
        <w:tab/>
      </w:r>
      <w:r>
        <w:fldChar w:fldCharType="begin"/>
      </w:r>
      <w:r>
        <w:instrText xml:space="preserve"> PAGEREF _Toc256000026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"_Toc256000027" </w:instrText>
      </w:r>
      <w:r>
        <w:fldChar w:fldCharType="separate"/>
      </w:r>
      <w:r>
        <w:rPr>
          <w:rStyle w:val="Hyperlink"/>
        </w:rPr>
        <w:t>1.1.1.23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situatii financiare interimare și Declarația persoanelor responsabile</w:t>
      </w:r>
      <w:r>
        <w:tab/>
      </w:r>
      <w:r>
        <w:fldChar w:fldCharType="begin"/>
      </w:r>
      <w:r>
        <w:instrText xml:space="preserve"> PAGEREF _Toc256000027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"_Toc256000028" </w:instrText>
      </w:r>
      <w:r>
        <w:fldChar w:fldCharType="separate"/>
      </w:r>
      <w:r>
        <w:rPr>
          <w:rStyle w:val="Hyperlink"/>
        </w:rPr>
        <w:t>1.1.1.24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Actionariat pentru aprobare in CA</w:t>
      </w:r>
      <w:r>
        <w:tab/>
      </w:r>
      <w:r>
        <w:fldChar w:fldCharType="begin"/>
      </w:r>
      <w:r>
        <w:instrText xml:space="preserve"> PAGEREF _Toc256000028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"_Toc256000029" </w:instrText>
      </w:r>
      <w:r>
        <w:fldChar w:fldCharType="separate"/>
      </w:r>
      <w:r>
        <w:rPr>
          <w:rStyle w:val="Hyperlink"/>
        </w:rPr>
        <w:t>1.1.1.25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situatii financiare interimare și Declarația persoanelor responsabile</w:t>
      </w:r>
      <w:r>
        <w:tab/>
      </w:r>
      <w:r>
        <w:fldChar w:fldCharType="begin"/>
      </w:r>
      <w:r>
        <w:instrText xml:space="preserve"> PAGEREF _Toc256000029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"_Toc256000030" </w:instrText>
      </w:r>
      <w:r>
        <w:fldChar w:fldCharType="separate"/>
      </w:r>
      <w:r>
        <w:rPr>
          <w:rStyle w:val="Hyperlink"/>
        </w:rPr>
        <w:t>1.1.1.26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Re-semnare situatii financiare interimare si transmitere catre Dir. General</w:t>
      </w:r>
      <w:r>
        <w:tab/>
      </w:r>
      <w:r>
        <w:fldChar w:fldCharType="begin"/>
      </w:r>
      <w:r>
        <w:instrText xml:space="preserve"> PAGEREF _Toc256000030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"_Toc256000031" </w:instrText>
      </w:r>
      <w:r>
        <w:fldChar w:fldCharType="separate"/>
      </w:r>
      <w:r>
        <w:rPr>
          <w:rStyle w:val="Hyperlink"/>
        </w:rPr>
        <w:t>1.1.1.27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Re-semnare situatii financiare interimare</w:t>
      </w:r>
      <w:r>
        <w:tab/>
      </w:r>
      <w:r>
        <w:fldChar w:fldCharType="begin"/>
      </w:r>
      <w:r>
        <w:instrText xml:space="preserve"> PAGEREF _Toc256000031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"_Toc256000032" </w:instrText>
      </w:r>
      <w:r>
        <w:fldChar w:fldCharType="separate"/>
      </w:r>
      <w:r>
        <w:rPr>
          <w:rStyle w:val="Hyperlink"/>
        </w:rPr>
        <w:t>1.1.1.28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situatii financiare interimare</w:t>
      </w:r>
      <w:r>
        <w:tab/>
      </w:r>
      <w:r>
        <w:fldChar w:fldCharType="begin"/>
      </w:r>
      <w:r>
        <w:instrText xml:space="preserve"> PAGEREF _Toc256000032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"_Toc256000033" </w:instrText>
      </w:r>
      <w:r>
        <w:fldChar w:fldCharType="separate"/>
      </w:r>
      <w:r>
        <w:rPr>
          <w:rStyle w:val="Hyperlink"/>
        </w:rPr>
        <w:t>1.1.1.29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Actionariat (format pdf sau fizic) si catre Guvernanta Corporativa (format word)</w:t>
      </w:r>
      <w:r>
        <w:tab/>
      </w:r>
      <w:r>
        <w:fldChar w:fldCharType="begin"/>
      </w:r>
      <w:r>
        <w:instrText xml:space="preserve"> PAGEREF _Toc256000033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"_Toc256000034" </w:instrText>
      </w:r>
      <w:r>
        <w:fldChar w:fldCharType="separate"/>
      </w:r>
      <w:r>
        <w:rPr>
          <w:rStyle w:val="Hyperlink"/>
        </w:rPr>
        <w:t>1.1.1.30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Biroul Guvernanta Corporativa</w:t>
      </w:r>
      <w:r>
        <w:tab/>
      </w:r>
      <w:r>
        <w:fldChar w:fldCharType="begin"/>
      </w:r>
      <w:r>
        <w:instrText xml:space="preserve"> PAGEREF _Toc256000034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"_Toc256000035" </w:instrText>
      </w:r>
      <w:r>
        <w:fldChar w:fldCharType="separate"/>
      </w:r>
      <w:r>
        <w:rPr>
          <w:rStyle w:val="Hyperlink"/>
        </w:rPr>
        <w:t>1.1.1.31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ASF si Bursa</w:t>
      </w:r>
      <w:r>
        <w:tab/>
      </w:r>
      <w:r>
        <w:fldChar w:fldCharType="begin"/>
      </w:r>
      <w:r>
        <w:instrText xml:space="preserve"> PAGEREF _Toc256000035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"_Toc256000036" </w:instrText>
      </w:r>
      <w:r>
        <w:fldChar w:fldCharType="separate"/>
      </w:r>
      <w:r>
        <w:rPr>
          <w:rStyle w:val="Hyperlink"/>
        </w:rPr>
        <w:t>1.1.1.32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de plata si declarare a impozitului pe profit si impozitul specific</w:t>
      </w:r>
      <w:r>
        <w:tab/>
      </w:r>
      <w:r>
        <w:fldChar w:fldCharType="begin"/>
      </w:r>
      <w:r>
        <w:instrText xml:space="preserve"> PAGEREF _Toc256000036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"_Toc256000037" </w:instrText>
      </w:r>
      <w:r>
        <w:fldChar w:fldCharType="separate"/>
      </w:r>
      <w:r>
        <w:rPr>
          <w:rStyle w:val="Hyperlink"/>
        </w:rPr>
        <w:t>1.1.1.33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Inchiderea modulului Furnizori</w:t>
      </w:r>
      <w:r>
        <w:tab/>
      </w:r>
      <w:r>
        <w:fldChar w:fldCharType="begin"/>
      </w:r>
      <w:r>
        <w:instrText xml:space="preserve"> PAGEREF _Toc256000037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Inchidere de semestru</w:t>
      </w:r>
      <w:bookmarkEnd w:id="2"/>
    </w:p>
    <w:p>
      <w:pPr>
        <w:jc w:val="center"/>
      </w:pPr>
      <w:r>
        <w:drawing>
          <wp:inline>
            <wp:extent cx="7886700" cy="32131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activitățile întreprinse în cadrul procesului de închidere de semestru până la transmiterea situațiilor către organele relevante</w:t>
      </w:r>
    </w:p>
    <w:p>
      <w:pPr>
        <w:pStyle w:val="bizHeading2"/>
      </w:pPr>
      <w:bookmarkStart w:id="3" w:name="b5ec768c-d7f3-4885-9a33-0c57568cb15e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7271853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Inchiderea preliminara de venituri si cheltuieli (incl. verificare si analiza)</w:t>
      </w:r>
      <w:bookmarkEnd w:id="6"/>
      <w:r>
        <w:t xml:space="preserve"> 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95258806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Inchiderea modulului GL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023980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Balanta preliminara la Controlling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0436657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echivalenta Cont de profit si pierdere din Hyperion cu cel din Balanta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456644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Contabilitate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8508508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in modul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77802354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Responsabil Financiar</w:t>
      </w:r>
      <w:bookmarkEnd w:id="12"/>
    </w:p>
    <w:p/>
    <w:p>
      <w:pPr>
        <w:pStyle w:val="BoldModelerNormal"/>
        <w:spacing w:line="20" w:lineRule="atLeast"/>
      </w:pPr>
      <w:r>
        <w:t>Gates</w:t>
      </w:r>
    </w:p>
    <w:p>
      <w:pPr>
        <w:pStyle w:val="BoldModelerNormal"/>
        <w:spacing w:line="20" w:lineRule="atLeast"/>
      </w:pPr>
      <w:r>
        <w:t>Ajustare in modul</w:t>
      </w:r>
    </w:p>
    <w:p>
      <w:pPr>
        <w:pStyle w:val="bizHeading4"/>
      </w:pPr>
      <w:bookmarkStart w:id="13" w:name="_Toc256000012"/>
      <w:r>
        <w:drawing>
          <wp:inline>
            <wp:extent cx="152421" cy="152421"/>
            <wp:docPr id="105383396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in modul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04928578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in Hyperion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67126038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 Servicii in curs de executie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78130596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Impozit pe profit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4319216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servicii in curs de execuție in Contabilitate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1067101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 cont de venit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129097456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Auditarea situatiilor financiare anuale/ Revizuire situații financiare interimare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717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Actualizare calcul impozit pe profit curent si amanat</w:t>
      </w:r>
      <w:bookmarkEnd w:id="20"/>
      <w:r>
        <w:t xml:space="preserve"> </w:t>
      </w:r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15015815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Calculul si inregistrarea provizionul pentru participare salariați la profit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87821218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Definitivare si tansmitere Balanta finala la Controlling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209151495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si primire informatii</w:t>
      </w:r>
      <w:bookmarkEnd w:id="23"/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9292597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Intocmire situatii financiare interimare</w:t>
      </w:r>
      <w:bookmarkEnd w:id="24"/>
      <w:r>
        <w:t xml:space="preserve"> </w:t>
      </w:r>
    </w:p>
    <w:p/>
    <w:p>
      <w:pPr>
        <w:pStyle w:val="bizHeading4"/>
      </w:pPr>
      <w:bookmarkStart w:id="25" w:name="_Toc256000024"/>
      <w:r>
        <w:drawing>
          <wp:inline>
            <wp:extent cx="152421" cy="152421"/>
            <wp:docPr id="2012681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situatii financiare interimare împreuna cu Declarația persoanelor responsabile</w:t>
      </w:r>
      <w:bookmarkEnd w:id="25"/>
    </w:p>
    <w:p/>
    <w:p>
      <w:pPr>
        <w:pStyle w:val="bizHeading4"/>
      </w:pPr>
      <w:bookmarkStart w:id="26" w:name="_Toc256000025"/>
      <w:r>
        <w:drawing>
          <wp:inline>
            <wp:extent cx="152421" cy="152421"/>
            <wp:docPr id="188729158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Ajustare situatii financiare interimare</w:t>
      </w:r>
      <w:bookmarkEnd w:id="26"/>
    </w:p>
    <w:p/>
    <w:p>
      <w:pPr>
        <w:pStyle w:val="bizHeading4"/>
      </w:pPr>
      <w:bookmarkStart w:id="27" w:name="_Toc256000026"/>
      <w:r>
        <w:drawing>
          <wp:inline>
            <wp:extent cx="152421" cy="152421"/>
            <wp:docPr id="548996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situatii financiare interimare și Declarația persoanelor responsabile si transmitere catre Dir. General</w:t>
      </w:r>
      <w:bookmarkEnd w:id="27"/>
    </w:p>
    <w:p/>
    <w:p>
      <w:pPr>
        <w:pStyle w:val="bizHeading4"/>
      </w:pPr>
      <w:bookmarkStart w:id="28" w:name="_Toc256000027"/>
      <w:r>
        <w:drawing>
          <wp:inline>
            <wp:extent cx="152421" cy="152421"/>
            <wp:docPr id="11530379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situatii financiare interimare și Declarația persoanelor responsabile</w:t>
      </w:r>
      <w:bookmarkEnd w:id="28"/>
    </w:p>
    <w:p/>
    <w:p>
      <w:pPr>
        <w:pStyle w:val="bizHeading4"/>
      </w:pPr>
      <w:bookmarkStart w:id="29" w:name="_Toc256000028"/>
      <w:r>
        <w:drawing>
          <wp:inline>
            <wp:extent cx="152421" cy="152421"/>
            <wp:docPr id="6276285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Actionariat pentru aprobare in CA</w:t>
      </w:r>
      <w:bookmarkEnd w:id="29"/>
    </w:p>
    <w:p/>
    <w:p>
      <w:pPr>
        <w:pStyle w:val="bizHeading4"/>
      </w:pPr>
      <w:bookmarkStart w:id="30" w:name="_Toc256000029"/>
      <w:r>
        <w:drawing>
          <wp:inline>
            <wp:extent cx="152421" cy="152421"/>
            <wp:docPr id="18949536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situatii financiare interimare și Declarația persoanelor responsabile</w:t>
      </w:r>
      <w:bookmarkEnd w:id="30"/>
    </w:p>
    <w:p/>
    <w:p>
      <w:pPr>
        <w:pStyle w:val="bizHeading4"/>
      </w:pPr>
      <w:bookmarkStart w:id="31" w:name="_Toc256000030"/>
      <w:r>
        <w:drawing>
          <wp:inline>
            <wp:extent cx="152421" cy="152421"/>
            <wp:docPr id="16439764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Re-semnare situatii financiare interimare si transmitere catre Dir. General</w:t>
      </w:r>
      <w:bookmarkEnd w:id="31"/>
    </w:p>
    <w:p/>
    <w:p>
      <w:pPr>
        <w:pStyle w:val="bizHeading4"/>
      </w:pPr>
      <w:bookmarkStart w:id="32" w:name="_Toc256000031"/>
      <w:r>
        <w:drawing>
          <wp:inline>
            <wp:extent cx="152421" cy="152421"/>
            <wp:docPr id="3678715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Re-semnare situatii financiare interimare</w:t>
      </w:r>
      <w:bookmarkEnd w:id="32"/>
    </w:p>
    <w:p/>
    <w:p>
      <w:pPr>
        <w:pStyle w:val="bizHeading4"/>
      </w:pPr>
      <w:bookmarkStart w:id="33" w:name="_Toc256000032"/>
      <w:r>
        <w:drawing>
          <wp:inline>
            <wp:extent cx="152421" cy="152421"/>
            <wp:docPr id="4076187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situatii financiare interimare</w:t>
      </w:r>
      <w:bookmarkEnd w:id="33"/>
    </w:p>
    <w:p/>
    <w:p>
      <w:pPr>
        <w:pStyle w:val="bizHeading4"/>
      </w:pPr>
      <w:bookmarkStart w:id="34" w:name="_Toc256000033"/>
      <w:r>
        <w:drawing>
          <wp:inline>
            <wp:extent cx="152421" cy="152421"/>
            <wp:docPr id="13327043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Actionariat (format pdf sau fizic) si catre Guvernanta Corporativa (format word)</w:t>
      </w:r>
      <w:bookmarkEnd w:id="34"/>
    </w:p>
    <w:p/>
    <w:p>
      <w:pPr>
        <w:pStyle w:val="bizHeading4"/>
      </w:pPr>
      <w:bookmarkStart w:id="35" w:name="_Toc256000034"/>
      <w:r>
        <w:drawing>
          <wp:inline>
            <wp:extent cx="152421" cy="152421"/>
            <wp:docPr id="9863161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Biroul Guvernanta Corporativa</w:t>
      </w:r>
      <w:bookmarkEnd w:id="35"/>
    </w:p>
    <w:p/>
    <w:p>
      <w:pPr>
        <w:pStyle w:val="bizHeading4"/>
      </w:pPr>
      <w:bookmarkStart w:id="36" w:name="_Toc256000035"/>
      <w:r>
        <w:drawing>
          <wp:inline>
            <wp:extent cx="152421" cy="152421"/>
            <wp:docPr id="3400302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ASF si Bursa</w:t>
      </w:r>
      <w:bookmarkEnd w:id="36"/>
    </w:p>
    <w:p/>
    <w:p>
      <w:pPr>
        <w:pStyle w:val="bizHeading4"/>
      </w:pPr>
      <w:bookmarkStart w:id="37" w:name="_Toc256000036"/>
      <w:r>
        <w:drawing>
          <wp:inline>
            <wp:extent cx="152421" cy="152421"/>
            <wp:docPr id="17502706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de plata si declarare a impozitului pe profit si impozitul specific</w:t>
      </w:r>
      <w:bookmarkEnd w:id="37"/>
    </w:p>
    <w:p/>
    <w:p>
      <w:pPr>
        <w:pStyle w:val="bizHeading4"/>
      </w:pPr>
      <w:bookmarkStart w:id="38" w:name="_Toc256000037"/>
      <w:r>
        <w:drawing>
          <wp:inline>
            <wp:extent cx="152421" cy="152421"/>
            <wp:docPr id="181461198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Inchiderea modulului Furnizori</w:t>
      </w:r>
      <w:bookmarkEnd w:id="38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7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D5458CA"/>
    <w:multiLevelType w:val="multilevel"/>
    <w:tmpl w:val="7D54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7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